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jc w:val="center"/>
      </w:pPr>
      <w:r>
        <w:rPr>
          <w:b/>
          <w:color w:val="C69C77"/>
          <w:sz w:val="44"/>
        </w:rPr>
        <w:t>Linee Guida Operative: Interventi Assistiti con gli Animali (IAA) - Gatto</w:t>
      </w:r>
    </w:p>
    <w:p>
      <w:pPr>
        <w:keepNext/>
        <w:spacing w:before="320" w:after="120"/>
      </w:pPr>
      <w:r>
        <w:rPr>
          <w:b/>
          <w:color w:val="C69C77"/>
          <w:sz w:val="28"/>
        </w:rPr>
        <w:t>1. Inquadramento e Ruolo del Medico Veterinario</w:t>
      </w:r>
    </w:p>
    <w:p>
      <w:pPr>
        <w:spacing w:after="240"/>
      </w:pPr>
      <w:r>
        <w:t>Il Medico Veterinario esperto in IAA è una figura indispensabile dell'équipe multidisciplinare. È responsabile della scelta della specie e del singolo soggetto, valutandone i requisiti sanitari e comportamentali. La sua firma sancisce l'idoneità dell'animale, condizione necessaria per l'attivazione di qualsiasi progetto (TAA, EAA o AAA).</w:t>
      </w:r>
    </w:p>
    <w:p>
      <w:pPr>
        <w:spacing w:after="360"/>
        <w:jc w:val="center"/>
      </w:pPr>
      <w:r>
        <w:rPr>
          <w:i/>
          <w:color w:val="787878"/>
          <w:sz w:val="19"/>
        </w:rPr>
        <w:t>Fig 1: Un professionista maschio in camice (veterinario) in stile fumetto che collabora attorno a un tavolo con un educatore e uno psicologo, con un gatto sereno al centro della scena, a simboleggiare l'integrazione dell'équipe multidisciplinare.</w:t>
      </w:r>
    </w:p>
    <w:p>
      <w:pPr>
        <w:keepNext/>
        <w:spacing w:before="320" w:after="120"/>
      </w:pPr>
      <w:r>
        <w:rPr>
          <w:b/>
          <w:color w:val="C69C77"/>
          <w:sz w:val="28"/>
        </w:rPr>
        <w:t>2. Valutazione di Idoneità del Gatto</w:t>
      </w:r>
    </w:p>
    <w:p>
      <w:pPr>
        <w:spacing w:after="240"/>
      </w:pPr>
      <w:r>
        <w:t>Prima di iniziare un progetto, il veterinario deve eseguire due tipi di valutazioni soggettive:</w:t>
        <w:br/>
        <w:br/>
        <w:t>• Valutazione Comportamentale: Deve attestare l'assenza di patologie feline (aggressività, ansia, stereotipie) e l'idoneità specifica per l'attività (socievolezza con estranei, tolleranza alla manipolazione, capacità di adattamento). Va ripetuta prima di ogni nuovo progetto.</w:t>
        <w:br/>
        <w:br/>
        <w:t>• Valutazione Sanitaria: Include visita clinica, verifica del microchip e controllo della dieta (preferire alimenti commerciali o cotti per ridurre rischi come la Salmonella).</w:t>
      </w:r>
    </w:p>
    <w:p>
      <w:pPr>
        <w:spacing w:after="360"/>
        <w:jc w:val="center"/>
      </w:pPr>
      <w:r>
        <w:rPr>
          <w:i/>
          <w:color w:val="787878"/>
          <w:sz w:val="19"/>
        </w:rPr>
        <w:t>Fig 2: Una checklist illustrata accanto a un gatto: icone di un cuore (salute), una mano che accarezza (tolleranza) e una lente d'ingrandimento (osservazione comportamentale).</w:t>
      </w:r>
    </w:p>
    <w:p>
      <w:pPr>
        <w:keepNext/>
        <w:spacing w:before="320" w:after="120"/>
      </w:pPr>
      <w:r>
        <w:rPr>
          <w:b/>
          <w:color w:val="C69C77"/>
          <w:sz w:val="28"/>
        </w:rPr>
        <w:t>3. Protocollo Sanitario e Profilassi</w:t>
      </w:r>
    </w:p>
    <w:p>
      <w:pPr>
        <w:spacing w:after="240"/>
      </w:pPr>
      <w:r>
        <w:t>Il gatto deve seguire rigidi protocolli per tutelare gli utenti fragili:</w:t>
        <w:br/>
        <w:br/>
        <w:t>• Vaccini 'Core': Panleucopenia, Herpesvirus e Calicivirus.</w:t>
        <w:br/>
        <w:t>• Parassiti: Trattamenti regolari per ectoparassiti (pulci, zecche) ed endoparassiti (vermi tondi, tenie), con particolare attenzione alle zoonosi come Toxocara cati.</w:t>
        <w:br/>
        <w:t>• Zoonosi specifiche: Monitoraggio per Bartonella henselae (malattia del graffio) tramite controllo dei vettori (pulci) e screening per MRSA (Stafilococco meticillino-resistente) in setting ospedalieri.</w:t>
      </w:r>
    </w:p>
    <w:p>
      <w:pPr>
        <w:spacing w:after="360"/>
        <w:jc w:val="center"/>
      </w:pPr>
      <w:r>
        <w:rPr>
          <w:i/>
          <w:color w:val="787878"/>
          <w:sz w:val="19"/>
        </w:rPr>
        <w:t>Fig 3: Uno scudo protettivo che circonda un gatto, con simboli di virus e parassiti che rimbalzano all'esterno, rappresentando la prevenzione sanitaria.</w:t>
      </w:r>
    </w:p>
    <w:p>
      <w:pPr>
        <w:keepNext/>
        <w:spacing w:before="320" w:after="120"/>
      </w:pPr>
      <w:r>
        <w:rPr>
          <w:b/>
          <w:color w:val="C69C77"/>
          <w:sz w:val="28"/>
        </w:rPr>
        <w:t>4. Gestione della Seduta (Prima, Durante, Dopo)</w:t>
      </w:r>
    </w:p>
    <w:p>
      <w:pPr>
        <w:spacing w:after="240"/>
      </w:pPr>
      <w:r>
        <w:t>Il veterinario definisce le prassi igieniche operative:</w:t>
        <w:br/>
        <w:br/>
        <w:t>• Prima: Controllare lo stato di salute generale (niente vomito o diarrea) e spazzolare l'animale per rimuovere pelo morto. Assicurarsi che le unghie siano spuntate.</w:t>
        <w:br/>
        <w:t>• Durante: Supervisionare per evitare morsi o graffi; gli utenti devono disinfettarsi le mani prima e dopo il contatto. La lettiera non deve essere presente nel setting.</w:t>
        <w:br/>
        <w:t>• Dopo: Pulire e disinfettare tutta l'attrezzatura (trasportini, giochi, copertine).</w:t>
      </w:r>
    </w:p>
    <w:p>
      <w:pPr>
        <w:spacing w:after="360"/>
        <w:jc w:val="center"/>
      </w:pPr>
      <w:r>
        <w:rPr>
          <w:i/>
          <w:color w:val="787878"/>
          <w:sz w:val="19"/>
        </w:rPr>
        <w:t>Fig 4: Una sequenza di tre icone: una spazzola (pre), due mani che si lavano (durante) e uno spray disinfettante su un trasportino (post).</w:t>
      </w:r>
    </w:p>
    <w:p>
      <w:pPr>
        <w:keepNext/>
        <w:spacing w:before="320" w:after="120"/>
      </w:pPr>
      <w:r>
        <w:rPr>
          <w:b/>
          <w:color w:val="C69C77"/>
          <w:sz w:val="28"/>
        </w:rPr>
        <w:t>5. Monitoraggio del Benessere e Stress</w:t>
      </w:r>
    </w:p>
    <w:p>
      <w:pPr>
        <w:spacing w:after="240"/>
      </w:pPr>
      <w:r>
        <w:t>Il monitoraggio deve essere costante sia durante l'attività che nei periodi di riposo:</w:t>
        <w:br/>
        <w:br/>
        <w:t>• Segnali di stress: Pupille dilatate, orecchie appiattite, coda a scatti, vocalizzi di sofferenza o tentativi di fuga. È fondamentale garantire sempre una via di fuga o un rifugio sicuro nel setting.</w:t>
        <w:br/>
        <w:t>• Diario di attività: Il coadiutore compila un diario quotidiano (appetito, sonno, uso lettiera) che il veterinario deve visionare e firmare regolarmente.</w:t>
      </w:r>
    </w:p>
    <w:p>
      <w:pPr>
        <w:spacing w:after="360"/>
        <w:jc w:val="center"/>
      </w:pPr>
      <w:r>
        <w:rPr>
          <w:i/>
          <w:color w:val="787878"/>
          <w:sz w:val="19"/>
        </w:rPr>
        <w:t>Fig 5: Un gatto con un 'termometro delle emozioni' accanto: il verde per la calma (corpo rilassato) e il rosso per lo stress (orecchie basse, pupille grandi).</w:t>
      </w:r>
    </w:p>
    <w:p>
      <w:pPr>
        <w:keepNext/>
        <w:spacing w:before="360" w:after="160"/>
      </w:pPr>
      <w:r>
        <w:rPr>
          <w:b/>
          <w:color w:val="C69C77"/>
          <w:sz w:val="28"/>
        </w:rPr>
        <w:t>Tabella Riassuntiva per il Professionista</w:t>
      </w:r>
    </w:p>
    <w:tbl>
      <w:tblPr>
        <w:tblW w:type="auto" w:w="0"/>
        <w:jc w:val="center"/>
        <w:tblLook w:firstColumn="1" w:firstRow="1" w:lastColumn="0" w:lastRow="0" w:noHBand="0" w:noVBand="1" w:val="04A0"/>
      </w:tblPr>
      <w:tblGrid>
        <w:gridCol w:w="2340"/>
        <w:gridCol w:w="2340"/>
        <w:gridCol w:w="2340"/>
        <w:gridCol w:w="2340"/>
      </w:tblGrid>
      <w:tr>
        <w:tc>
          <w:tcPr>
            <w:tcW w:type="dxa" w:w="2340"/>
            <w:tcMar>
              <w:top w:w="140" w:type="dxa"/>
              <w:bottom w:w="140" w:type="dxa"/>
              <w:left w:w="140" w:type="dxa"/>
              <w:right w:w="140" w:type="dxa"/>
            </w:tcMar>
            <w:shd w:fill="C69C77"/>
          </w:tcPr>
          <w:p>
            <w:pPr>
              <w:spacing w:after="0"/>
            </w:pPr>
            <w:r>
              <w:rPr>
                <w:rFonts w:ascii="Arial" w:hAnsi="Arial"/>
                <w:b/>
                <w:color w:val="FFFFFF"/>
                <w:sz w:val="21"/>
              </w:rPr>
              <w:t>Ambito</w:t>
            </w:r>
          </w:p>
        </w:tc>
        <w:tc>
          <w:tcPr>
            <w:tcW w:type="dxa" w:w="2340"/>
            <w:tcMar>
              <w:top w:w="140" w:type="dxa"/>
              <w:bottom w:w="140" w:type="dxa"/>
              <w:left w:w="140" w:type="dxa"/>
              <w:right w:w="140" w:type="dxa"/>
            </w:tcMar>
            <w:shd w:fill="C69C77"/>
          </w:tcPr>
          <w:p>
            <w:pPr>
              <w:spacing w:after="0"/>
            </w:pPr>
            <w:r>
              <w:rPr>
                <w:rFonts w:ascii="Arial" w:hAnsi="Arial"/>
                <w:b/>
                <w:color w:val="FFFFFF"/>
                <w:sz w:val="21"/>
              </w:rPr>
              <w:t>Azione Chiave</w:t>
            </w:r>
          </w:p>
        </w:tc>
        <w:tc>
          <w:tcPr>
            <w:tcW w:type="dxa" w:w="2340"/>
            <w:tcMar>
              <w:top w:w="140" w:type="dxa"/>
              <w:bottom w:w="140" w:type="dxa"/>
              <w:left w:w="140" w:type="dxa"/>
              <w:right w:w="140" w:type="dxa"/>
            </w:tcMar>
            <w:shd w:fill="C69C77"/>
          </w:tcPr>
          <w:p>
            <w:pPr>
              <w:spacing w:after="0"/>
            </w:pPr>
            <w:r>
              <w:rPr>
                <w:rFonts w:ascii="Arial" w:hAnsi="Arial"/>
                <w:b/>
                <w:color w:val="FFFFFF"/>
                <w:sz w:val="21"/>
              </w:rPr>
              <w:t>Frequenza / Tempistica</w:t>
            </w:r>
          </w:p>
        </w:tc>
        <w:tc>
          <w:tcPr>
            <w:tcW w:type="dxa" w:w="2340"/>
            <w:tcMar>
              <w:top w:w="140" w:type="dxa"/>
              <w:bottom w:w="140" w:type="dxa"/>
              <w:left w:w="140" w:type="dxa"/>
              <w:right w:w="140" w:type="dxa"/>
            </w:tcMar>
            <w:shd w:fill="C69C77"/>
          </w:tcPr>
          <w:p>
            <w:pPr>
              <w:spacing w:after="0"/>
            </w:pPr>
            <w:r>
              <w:rPr>
                <w:rFonts w:ascii="Arial" w:hAnsi="Arial"/>
                <w:b/>
                <w:color w:val="FFFFFF"/>
                <w:sz w:val="21"/>
              </w:rPr>
              <w:t>Documentazione / Riferimento</w:t>
            </w:r>
          </w:p>
        </w:tc>
      </w:tr>
      <w:tr>
        <w:tc>
          <w:tcPr>
            <w:tcW w:type="dxa" w:w="2340"/>
            <w:tcMar>
              <w:top w:w="140" w:type="dxa"/>
              <w:bottom w:w="140" w:type="dxa"/>
              <w:left w:w="140" w:type="dxa"/>
              <w:right w:w="140" w:type="dxa"/>
            </w:tcMar>
          </w:tcPr>
          <w:p>
            <w:pPr>
              <w:spacing w:after="0"/>
            </w:pPr>
            <w:r>
              <w:rPr>
                <w:rFonts w:ascii="Arial" w:hAnsi="Arial"/>
                <w:sz w:val="20"/>
              </w:rPr>
              <w:t>Documentazione</w:t>
            </w:r>
          </w:p>
        </w:tc>
        <w:tc>
          <w:tcPr>
            <w:tcW w:type="dxa" w:w="2340"/>
            <w:tcMar>
              <w:top w:w="140" w:type="dxa"/>
              <w:bottom w:w="140" w:type="dxa"/>
              <w:left w:w="140" w:type="dxa"/>
              <w:right w:w="140" w:type="dxa"/>
            </w:tcMar>
          </w:tcPr>
          <w:p>
            <w:pPr>
              <w:spacing w:after="0"/>
            </w:pPr>
            <w:r>
              <w:rPr>
                <w:rFonts w:ascii="Arial" w:hAnsi="Arial"/>
                <w:sz w:val="20"/>
              </w:rPr>
              <w:t>Redazione Scheda Progettuale Generale (SPG)</w:t>
            </w:r>
          </w:p>
        </w:tc>
        <w:tc>
          <w:tcPr>
            <w:tcW w:type="dxa" w:w="2340"/>
            <w:tcMar>
              <w:top w:w="140" w:type="dxa"/>
              <w:bottom w:w="140" w:type="dxa"/>
              <w:left w:w="140" w:type="dxa"/>
              <w:right w:w="140" w:type="dxa"/>
            </w:tcMar>
          </w:tcPr>
          <w:p>
            <w:pPr>
              <w:spacing w:after="0"/>
            </w:pPr>
            <w:r>
              <w:rPr>
                <w:rFonts w:ascii="Arial" w:hAnsi="Arial"/>
                <w:sz w:val="20"/>
              </w:rPr>
              <w:t>All'inizio di ogni progetto</w:t>
            </w:r>
          </w:p>
        </w:tc>
        <w:tc>
          <w:tcPr>
            <w:tcW w:type="dxa" w:w="2340"/>
            <w:tcMar>
              <w:top w:w="140" w:type="dxa"/>
              <w:bottom w:w="140" w:type="dxa"/>
              <w:left w:w="140" w:type="dxa"/>
              <w:right w:w="140" w:type="dxa"/>
            </w:tcMar>
          </w:tcPr>
          <w:p>
            <w:pPr>
              <w:spacing w:after="0"/>
            </w:pPr>
            <w:r>
              <w:rPr>
                <w:rFonts w:ascii="Arial" w:hAnsi="Arial"/>
                <w:sz w:val="20"/>
              </w:rPr>
              <w:t>Firma del Veterinario Esperto</w:t>
            </w:r>
          </w:p>
        </w:tc>
      </w:tr>
      <w:tr>
        <w:tc>
          <w:tcPr>
            <w:tcW w:type="dxa" w:w="2340"/>
            <w:tcMar>
              <w:top w:w="140" w:type="dxa"/>
              <w:bottom w:w="140" w:type="dxa"/>
              <w:left w:w="140" w:type="dxa"/>
              <w:right w:w="140" w:type="dxa"/>
            </w:tcMar>
            <w:shd w:fill="F4F8F9"/>
          </w:tcPr>
          <w:p>
            <w:pPr>
              <w:spacing w:after="0"/>
            </w:pPr>
            <w:r>
              <w:rPr>
                <w:rFonts w:ascii="Arial" w:hAnsi="Arial"/>
                <w:sz w:val="20"/>
              </w:rPr>
              <w:t>Sanità</w:t>
            </w:r>
          </w:p>
        </w:tc>
        <w:tc>
          <w:tcPr>
            <w:tcW w:type="dxa" w:w="2340"/>
            <w:tcMar>
              <w:top w:w="140" w:type="dxa"/>
              <w:bottom w:w="140" w:type="dxa"/>
              <w:left w:w="140" w:type="dxa"/>
              <w:right w:w="140" w:type="dxa"/>
            </w:tcMar>
            <w:shd w:fill="F4F8F9"/>
          </w:tcPr>
          <w:p>
            <w:pPr>
              <w:spacing w:after="0"/>
            </w:pPr>
            <w:r>
              <w:rPr>
                <w:rFonts w:ascii="Arial" w:hAnsi="Arial"/>
                <w:sz w:val="20"/>
              </w:rPr>
              <w:t>Visita clinica e controllo profilassi</w:t>
            </w:r>
          </w:p>
        </w:tc>
        <w:tc>
          <w:tcPr>
            <w:tcW w:type="dxa" w:w="2340"/>
            <w:tcMar>
              <w:top w:w="140" w:type="dxa"/>
              <w:bottom w:w="140" w:type="dxa"/>
              <w:left w:w="140" w:type="dxa"/>
              <w:right w:w="140" w:type="dxa"/>
            </w:tcMar>
            <w:shd w:fill="F4F8F9"/>
          </w:tcPr>
          <w:p>
            <w:pPr>
              <w:spacing w:after="0"/>
            </w:pPr>
            <w:r>
              <w:rPr>
                <w:rFonts w:ascii="Arial" w:hAnsi="Arial"/>
                <w:sz w:val="20"/>
              </w:rPr>
              <w:t>Semestrale (o più frequente per fragili)</w:t>
            </w:r>
          </w:p>
        </w:tc>
        <w:tc>
          <w:tcPr>
            <w:tcW w:type="dxa" w:w="2340"/>
            <w:tcMar>
              <w:top w:w="140" w:type="dxa"/>
              <w:bottom w:w="140" w:type="dxa"/>
              <w:left w:w="140" w:type="dxa"/>
              <w:right w:w="140" w:type="dxa"/>
            </w:tcMar>
            <w:shd w:fill="F4F8F9"/>
          </w:tcPr>
          <w:p>
            <w:pPr>
              <w:spacing w:after="0"/>
            </w:pPr>
            <w:r>
              <w:rPr>
                <w:rFonts w:ascii="Arial" w:hAnsi="Arial"/>
                <w:sz w:val="20"/>
              </w:rPr>
              <w:t>Certificato di Salute</w:t>
            </w:r>
          </w:p>
        </w:tc>
      </w:tr>
      <w:tr>
        <w:tc>
          <w:tcPr>
            <w:tcW w:type="dxa" w:w="2340"/>
            <w:tcMar>
              <w:top w:w="140" w:type="dxa"/>
              <w:bottom w:w="140" w:type="dxa"/>
              <w:left w:w="140" w:type="dxa"/>
              <w:right w:w="140" w:type="dxa"/>
            </w:tcMar>
          </w:tcPr>
          <w:p>
            <w:pPr>
              <w:spacing w:after="0"/>
            </w:pPr>
            <w:r>
              <w:rPr>
                <w:rFonts w:ascii="Arial" w:hAnsi="Arial"/>
                <w:sz w:val="20"/>
              </w:rPr>
              <w:t>Comportamento</w:t>
            </w:r>
          </w:p>
        </w:tc>
        <w:tc>
          <w:tcPr>
            <w:tcW w:type="dxa" w:w="2340"/>
            <w:tcMar>
              <w:top w:w="140" w:type="dxa"/>
              <w:bottom w:w="140" w:type="dxa"/>
              <w:left w:w="140" w:type="dxa"/>
              <w:right w:w="140" w:type="dxa"/>
            </w:tcMar>
          </w:tcPr>
          <w:p>
            <w:pPr>
              <w:spacing w:after="0"/>
            </w:pPr>
            <w:r>
              <w:rPr>
                <w:rFonts w:ascii="Arial" w:hAnsi="Arial"/>
                <w:sz w:val="20"/>
              </w:rPr>
              <w:t>Valutazione idoneità specifica al progetto</w:t>
            </w:r>
          </w:p>
        </w:tc>
        <w:tc>
          <w:tcPr>
            <w:tcW w:type="dxa" w:w="2340"/>
            <w:tcMar>
              <w:top w:w="140" w:type="dxa"/>
              <w:bottom w:w="140" w:type="dxa"/>
              <w:left w:w="140" w:type="dxa"/>
              <w:right w:w="140" w:type="dxa"/>
            </w:tcMar>
          </w:tcPr>
          <w:p>
            <w:pPr>
              <w:spacing w:after="0"/>
            </w:pPr>
            <w:r>
              <w:rPr>
                <w:rFonts w:ascii="Arial" w:hAnsi="Arial"/>
                <w:sz w:val="20"/>
              </w:rPr>
              <w:t>Prima di ogni inizio attività</w:t>
            </w:r>
          </w:p>
        </w:tc>
        <w:tc>
          <w:tcPr>
            <w:tcW w:type="dxa" w:w="2340"/>
            <w:tcMar>
              <w:top w:w="140" w:type="dxa"/>
              <w:bottom w:w="140" w:type="dxa"/>
              <w:left w:w="140" w:type="dxa"/>
              <w:right w:w="140" w:type="dxa"/>
            </w:tcMar>
          </w:tcPr>
          <w:p>
            <w:pPr>
              <w:spacing w:after="0"/>
            </w:pPr>
            <w:r>
              <w:rPr>
                <w:rFonts w:ascii="Arial" w:hAnsi="Arial"/>
                <w:sz w:val="20"/>
              </w:rPr>
              <w:t>Scheda di Valutazione Comportamentale</w:t>
            </w:r>
          </w:p>
        </w:tc>
      </w:tr>
      <w:tr>
        <w:tc>
          <w:tcPr>
            <w:tcW w:type="dxa" w:w="2340"/>
            <w:tcMar>
              <w:top w:w="140" w:type="dxa"/>
              <w:bottom w:w="140" w:type="dxa"/>
              <w:left w:w="140" w:type="dxa"/>
              <w:right w:w="140" w:type="dxa"/>
            </w:tcMar>
            <w:shd w:fill="F4F8F9"/>
          </w:tcPr>
          <w:p>
            <w:pPr>
              <w:spacing w:after="0"/>
            </w:pPr>
            <w:r>
              <w:rPr>
                <w:rFonts w:ascii="Arial" w:hAnsi="Arial"/>
                <w:sz w:val="20"/>
              </w:rPr>
              <w:t>Igiene Seduta</w:t>
            </w:r>
          </w:p>
        </w:tc>
        <w:tc>
          <w:tcPr>
            <w:tcW w:type="dxa" w:w="2340"/>
            <w:tcMar>
              <w:top w:w="140" w:type="dxa"/>
              <w:bottom w:w="140" w:type="dxa"/>
              <w:left w:w="140" w:type="dxa"/>
              <w:right w:w="140" w:type="dxa"/>
            </w:tcMar>
            <w:shd w:fill="F4F8F9"/>
          </w:tcPr>
          <w:p>
            <w:pPr>
              <w:spacing w:after="0"/>
            </w:pPr>
            <w:r>
              <w:rPr>
                <w:rFonts w:ascii="Arial" w:hAnsi="Arial"/>
                <w:sz w:val="20"/>
              </w:rPr>
              <w:t>Spazzolatura e controllo unghie</w:t>
            </w:r>
          </w:p>
        </w:tc>
        <w:tc>
          <w:tcPr>
            <w:tcW w:type="dxa" w:w="2340"/>
            <w:tcMar>
              <w:top w:w="140" w:type="dxa"/>
              <w:bottom w:w="140" w:type="dxa"/>
              <w:left w:w="140" w:type="dxa"/>
              <w:right w:w="140" w:type="dxa"/>
            </w:tcMar>
            <w:shd w:fill="F4F8F9"/>
          </w:tcPr>
          <w:p>
            <w:pPr>
              <w:spacing w:after="0"/>
            </w:pPr>
            <w:r>
              <w:rPr>
                <w:rFonts w:ascii="Arial" w:hAnsi="Arial"/>
                <w:sz w:val="20"/>
              </w:rPr>
              <w:t>Prima di ogni seduta</w:t>
            </w:r>
          </w:p>
        </w:tc>
        <w:tc>
          <w:tcPr>
            <w:tcW w:type="dxa" w:w="2340"/>
            <w:tcMar>
              <w:top w:w="140" w:type="dxa"/>
              <w:bottom w:w="140" w:type="dxa"/>
              <w:left w:w="140" w:type="dxa"/>
              <w:right w:w="140" w:type="dxa"/>
            </w:tcMar>
            <w:shd w:fill="F4F8F9"/>
          </w:tcPr>
          <w:p>
            <w:pPr>
              <w:spacing w:after="0"/>
            </w:pPr>
            <w:r>
              <w:rPr>
                <w:rFonts w:ascii="Arial" w:hAnsi="Arial"/>
                <w:sz w:val="20"/>
              </w:rPr>
              <w:t>Registro del Coadiutore</w:t>
            </w:r>
          </w:p>
        </w:tc>
      </w:tr>
      <w:tr>
        <w:tc>
          <w:tcPr>
            <w:tcW w:type="dxa" w:w="2340"/>
            <w:tcMar>
              <w:top w:w="140" w:type="dxa"/>
              <w:bottom w:w="140" w:type="dxa"/>
              <w:left w:w="140" w:type="dxa"/>
              <w:right w:w="140" w:type="dxa"/>
            </w:tcMar>
          </w:tcPr>
          <w:p>
            <w:pPr>
              <w:spacing w:after="0"/>
            </w:pPr>
            <w:r>
              <w:rPr>
                <w:rFonts w:ascii="Arial" w:hAnsi="Arial"/>
                <w:sz w:val="20"/>
              </w:rPr>
              <w:t>Igiene Utenti</w:t>
            </w:r>
          </w:p>
        </w:tc>
        <w:tc>
          <w:tcPr>
            <w:tcW w:type="dxa" w:w="2340"/>
            <w:tcMar>
              <w:top w:w="140" w:type="dxa"/>
              <w:bottom w:w="140" w:type="dxa"/>
              <w:left w:w="140" w:type="dxa"/>
              <w:right w:w="140" w:type="dxa"/>
            </w:tcMar>
          </w:tcPr>
          <w:p>
            <w:pPr>
              <w:spacing w:after="0"/>
            </w:pPr>
            <w:r>
              <w:rPr>
                <w:rFonts w:ascii="Arial" w:hAnsi="Arial"/>
                <w:sz w:val="20"/>
              </w:rPr>
              <w:t>Lavaggio/disinfezione mani</w:t>
            </w:r>
          </w:p>
        </w:tc>
        <w:tc>
          <w:tcPr>
            <w:tcW w:type="dxa" w:w="2340"/>
            <w:tcMar>
              <w:top w:w="140" w:type="dxa"/>
              <w:bottom w:w="140" w:type="dxa"/>
              <w:left w:w="140" w:type="dxa"/>
              <w:right w:w="140" w:type="dxa"/>
            </w:tcMar>
          </w:tcPr>
          <w:p>
            <w:pPr>
              <w:spacing w:after="0"/>
            </w:pPr>
            <w:r>
              <w:rPr>
                <w:rFonts w:ascii="Arial" w:hAnsi="Arial"/>
                <w:sz w:val="20"/>
              </w:rPr>
              <w:t>Prima e dopo il contatto</w:t>
            </w:r>
          </w:p>
        </w:tc>
        <w:tc>
          <w:tcPr>
            <w:tcW w:type="dxa" w:w="2340"/>
            <w:tcMar>
              <w:top w:w="140" w:type="dxa"/>
              <w:bottom w:w="140" w:type="dxa"/>
              <w:left w:w="140" w:type="dxa"/>
              <w:right w:w="140" w:type="dxa"/>
            </w:tcMar>
          </w:tcPr>
          <w:p>
            <w:pPr>
              <w:spacing w:after="0"/>
            </w:pPr>
            <w:r>
              <w:rPr>
                <w:rFonts w:ascii="Arial" w:hAnsi="Arial"/>
                <w:sz w:val="20"/>
              </w:rPr>
              <w:t>Protocollo Operativo</w:t>
            </w:r>
          </w:p>
        </w:tc>
      </w:tr>
      <w:tr>
        <w:tc>
          <w:tcPr>
            <w:tcW w:type="dxa" w:w="2340"/>
            <w:tcMar>
              <w:top w:w="140" w:type="dxa"/>
              <w:bottom w:w="140" w:type="dxa"/>
              <w:left w:w="140" w:type="dxa"/>
              <w:right w:w="140" w:type="dxa"/>
            </w:tcMar>
            <w:shd w:fill="F4F8F9"/>
          </w:tcPr>
          <w:p>
            <w:pPr>
              <w:spacing w:after="0"/>
            </w:pPr>
            <w:r>
              <w:rPr>
                <w:rFonts w:ascii="Arial" w:hAnsi="Arial"/>
                <w:sz w:val="20"/>
              </w:rPr>
              <w:t>Monitoraggio</w:t>
            </w:r>
          </w:p>
        </w:tc>
        <w:tc>
          <w:tcPr>
            <w:tcW w:type="dxa" w:w="2340"/>
            <w:tcMar>
              <w:top w:w="140" w:type="dxa"/>
              <w:bottom w:w="140" w:type="dxa"/>
              <w:left w:w="140" w:type="dxa"/>
              <w:right w:w="140" w:type="dxa"/>
            </w:tcMar>
            <w:shd w:fill="F4F8F9"/>
          </w:tcPr>
          <w:p>
            <w:pPr>
              <w:spacing w:after="0"/>
            </w:pPr>
            <w:r>
              <w:rPr>
                <w:rFonts w:ascii="Arial" w:hAnsi="Arial"/>
                <w:sz w:val="20"/>
              </w:rPr>
              <w:t>Revisione del Diario di attività</w:t>
            </w:r>
          </w:p>
        </w:tc>
        <w:tc>
          <w:tcPr>
            <w:tcW w:type="dxa" w:w="2340"/>
            <w:tcMar>
              <w:top w:w="140" w:type="dxa"/>
              <w:bottom w:w="140" w:type="dxa"/>
              <w:left w:w="140" w:type="dxa"/>
              <w:right w:w="140" w:type="dxa"/>
            </w:tcMar>
            <w:shd w:fill="F4F8F9"/>
          </w:tcPr>
          <w:p>
            <w:pPr>
              <w:spacing w:after="0"/>
            </w:pPr>
            <w:r>
              <w:rPr>
                <w:rFonts w:ascii="Arial" w:hAnsi="Arial"/>
                <w:sz w:val="20"/>
              </w:rPr>
              <w:t>Regolare (periodi di inattività inclusi)</w:t>
            </w:r>
          </w:p>
        </w:tc>
        <w:tc>
          <w:tcPr>
            <w:tcW w:type="dxa" w:w="2340"/>
            <w:tcMar>
              <w:top w:w="140" w:type="dxa"/>
              <w:bottom w:w="140" w:type="dxa"/>
              <w:left w:w="140" w:type="dxa"/>
              <w:right w:w="140" w:type="dxa"/>
            </w:tcMar>
            <w:shd w:fill="F4F8F9"/>
          </w:tcPr>
          <w:p>
            <w:pPr>
              <w:spacing w:after="0"/>
            </w:pPr>
            <w:r>
              <w:rPr>
                <w:rFonts w:ascii="Arial" w:hAnsi="Arial"/>
                <w:sz w:val="20"/>
              </w:rPr>
              <w:t>Firma del Veterinario per Presa Visione</w:t>
            </w:r>
          </w:p>
        </w:tc>
      </w:tr>
      <w:tr>
        <w:tc>
          <w:tcPr>
            <w:tcW w:type="dxa" w:w="2340"/>
            <w:tcMar>
              <w:top w:w="140" w:type="dxa"/>
              <w:bottom w:w="140" w:type="dxa"/>
              <w:left w:w="140" w:type="dxa"/>
              <w:right w:w="140" w:type="dxa"/>
            </w:tcMar>
          </w:tcPr>
          <w:p>
            <w:pPr>
              <w:spacing w:after="0"/>
            </w:pPr>
            <w:r>
              <w:rPr>
                <w:rFonts w:ascii="Arial" w:hAnsi="Arial"/>
                <w:sz w:val="20"/>
              </w:rPr>
              <w:t>Sicurezza</w:t>
            </w:r>
          </w:p>
        </w:tc>
        <w:tc>
          <w:tcPr>
            <w:tcW w:type="dxa" w:w="2340"/>
            <w:tcMar>
              <w:top w:w="140" w:type="dxa"/>
              <w:bottom w:w="140" w:type="dxa"/>
              <w:left w:w="140" w:type="dxa"/>
              <w:right w:w="140" w:type="dxa"/>
            </w:tcMar>
          </w:tcPr>
          <w:p>
            <w:pPr>
              <w:spacing w:after="0"/>
            </w:pPr>
            <w:r>
              <w:rPr>
                <w:rFonts w:ascii="Arial" w:hAnsi="Arial"/>
                <w:sz w:val="20"/>
              </w:rPr>
              <w:t>Verifica assenza lettiera nel setting</w:t>
            </w:r>
          </w:p>
        </w:tc>
        <w:tc>
          <w:tcPr>
            <w:tcW w:type="dxa" w:w="2340"/>
            <w:tcMar>
              <w:top w:w="140" w:type="dxa"/>
              <w:bottom w:w="140" w:type="dxa"/>
              <w:left w:w="140" w:type="dxa"/>
              <w:right w:w="140" w:type="dxa"/>
            </w:tcMar>
          </w:tcPr>
          <w:p>
            <w:pPr>
              <w:spacing w:after="0"/>
            </w:pPr>
            <w:r>
              <w:rPr>
                <w:rFonts w:ascii="Arial" w:hAnsi="Arial"/>
                <w:sz w:val="20"/>
              </w:rPr>
              <w:t>Durante la seduta</w:t>
            </w:r>
          </w:p>
        </w:tc>
        <w:tc>
          <w:tcPr>
            <w:tcW w:type="dxa" w:w="2340"/>
            <w:tcMar>
              <w:top w:w="140" w:type="dxa"/>
              <w:bottom w:w="140" w:type="dxa"/>
              <w:left w:w="140" w:type="dxa"/>
              <w:right w:w="140" w:type="dxa"/>
            </w:tcMar>
          </w:tcPr>
          <w:p>
            <w:pPr>
              <w:spacing w:after="0"/>
            </w:pPr>
            <w:r>
              <w:rPr>
                <w:rFonts w:ascii="Arial" w:hAnsi="Arial"/>
                <w:sz w:val="20"/>
              </w:rPr>
              <w:t>Protocollo Operativo</w:t>
            </w:r>
          </w:p>
        </w:tc>
      </w:tr>
    </w:tbl>
    <w:p>
      <w:pPr>
        <w:spacing w:before="240"/>
      </w:pPr>
    </w:p>
    <w:p>
      <w:pPr>
        <w:spacing w:before="280" w:after="120"/>
      </w:pPr>
      <w:r>
        <w:rPr>
          <w:b/>
          <w:color w:val="C69C77"/>
          <w:sz w:val="28"/>
        </w:rPr>
        <w:t>Requisiti Aggiuntivi: Assicurazione e Strutture</w:t>
      </w:r>
    </w:p>
    <w:p>
      <w:r>
        <w:t>Ogni operatore (incluso il veterinario) deve possedere una polizza assicurativa professionale specifica per IAA per garantire il lavoro in sicurezza. Se l'intervento avviene in centri specializzati, devono essere previsti accessi differenziati per utenti e animali e aree di riposo dedicate.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B2B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